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10224"/>
      </w:tblGrid>
      <w:tr>
        <w:tc>
          <w:tcPr>
            <w:tcW w:type="dxa" w:w="10224"/>
            <w:shd w:fill="0B1F33"/>
            <w:vAlign w:val="center"/>
          </w:tcPr>
          <w:p>
            <w:pPr>
              <w:jc w:val="left"/>
            </w:pPr>
            <w:r>
              <w:rPr>
                <w:b/>
                <w:color w:val="FFFFFF"/>
                <w:sz w:val="22"/>
              </w:rPr>
              <w:t>KONTO FINANCIAL GROUP PLC</w:t>
            </w:r>
            <w:r>
              <w:rPr>
                <w:color w:val="B38B2E"/>
                <w:sz w:val="18"/>
              </w:rPr>
              <w:t xml:space="preserve">    |    NCDF GROUP FINANCIAL INCLUSION PLATFORM</w:t>
            </w:r>
          </w:p>
        </w:tc>
      </w:tr>
    </w:tbl>
    <w:p/>
    <w:p/>
    <w:p/>
    <w:p/>
    <w:p/>
    <w:p>
      <w:pPr>
        <w:pStyle w:val="Eyebrow"/>
        <w:jc w:val="left"/>
      </w:pPr>
      <w:r>
        <w:t>DOWNLOADABLE INVESTOR BRIEF</w:t>
      </w:r>
    </w:p>
    <w:p>
      <w:pPr>
        <w:pStyle w:val="Title"/>
        <w:jc w:val="left"/>
      </w:pPr>
      <w:r>
        <w:t>Konto Financial Group Plc</w:t>
        <w:br/>
        <w:t>Investor Brief</w:t>
      </w:r>
    </w:p>
    <w:p>
      <w:pPr>
        <w:pStyle w:val="Subtitle"/>
        <w:jc w:val="left"/>
      </w:pPr>
      <w:r>
        <w:t>Financial Inclusion | Digital Finance | SME Access | Agent Network Infrastructure</w:t>
      </w:r>
    </w:p>
    <w:p/>
    <w:tbl>
      <w:tblPr>
        <w:tblW w:type="auto" w:w="0"/>
        <w:tblLook w:firstColumn="1" w:firstRow="1" w:lastColumn="0" w:lastRow="0" w:noHBand="0" w:noVBand="1" w:val="04A0"/>
      </w:tblPr>
      <w:tblGrid>
        <w:gridCol w:w="5112"/>
        <w:gridCol w:w="5112"/>
      </w:tblGrid>
      <w:tr>
        <w:tc>
          <w:tcPr>
            <w:tcW w:type="dxa" w:w="5112"/>
            <w:tcBorders>
              <w:top w:sz="0" w:val="single" w:color="FFFFFF"/>
              <w:left w:sz="0" w:val="single" w:color="FFFFFF"/>
              <w:bottom w:sz="0" w:val="single" w:color="FFFFFF"/>
              <w:right w:sz="0" w:val="single" w:color="FFFFFF"/>
            </w:tcBorders>
            <w:shd w:fill="F3F6F8"/>
          </w:tcPr>
          <w:p>
            <w:r>
              <w:rPr>
                <w:color w:val="102A43"/>
                <w:sz w:val="17"/>
              </w:rPr>
              <w:t>Prepared for</w:t>
            </w:r>
          </w:p>
        </w:tc>
        <w:tc>
          <w:tcPr>
            <w:tcW w:type="dxa" w:w="5112"/>
            <w:tcBorders>
              <w:top w:sz="0" w:val="single" w:color="FFFFFF"/>
              <w:left w:sz="0" w:val="single" w:color="FFFFFF"/>
              <w:bottom w:sz="0" w:val="single" w:color="FFFFFF"/>
              <w:right w:sz="0" w:val="single" w:color="FFFFFF"/>
            </w:tcBorders>
            <w:shd w:fill="F3F6F8"/>
          </w:tcPr>
          <w:p>
            <w:r>
              <w:rPr>
                <w:color w:val="102A43"/>
                <w:sz w:val="17"/>
              </w:rPr>
              <w:t>Konto Financial Group Plc / NCDF Investment Management Plc</w:t>
            </w:r>
          </w:p>
        </w:tc>
      </w:tr>
      <w:tr>
        <w:tc>
          <w:tcPr>
            <w:tcW w:type="dxa" w:w="5112"/>
            <w:tcBorders>
              <w:top w:sz="0" w:val="single" w:color="FFFFFF"/>
              <w:left w:sz="0" w:val="single" w:color="FFFFFF"/>
              <w:bottom w:sz="0" w:val="single" w:color="FFFFFF"/>
              <w:right w:sz="0" w:val="single" w:color="FFFFFF"/>
            </w:tcBorders>
            <w:shd w:fill="F3F6F8"/>
          </w:tcPr>
          <w:p>
            <w:r>
              <w:rPr>
                <w:color w:val="102A43"/>
                <w:sz w:val="17"/>
              </w:rPr>
              <w:t>Purpose</w:t>
            </w:r>
          </w:p>
        </w:tc>
        <w:tc>
          <w:tcPr>
            <w:tcW w:type="dxa" w:w="5112"/>
            <w:tcBorders>
              <w:top w:sz="0" w:val="single" w:color="FFFFFF"/>
              <w:left w:sz="0" w:val="single" w:color="FFFFFF"/>
              <w:bottom w:sz="0" w:val="single" w:color="FFFFFF"/>
              <w:right w:sz="0" w:val="single" w:color="FFFFFF"/>
            </w:tcBorders>
            <w:shd w:fill="F3F6F8"/>
          </w:tcPr>
          <w:p>
            <w:r>
              <w:rPr>
                <w:color w:val="102A43"/>
                <w:sz w:val="17"/>
              </w:rPr>
              <w:t>Website deployment, investor engagement and controlled institutional communication</w:t>
            </w:r>
          </w:p>
        </w:tc>
      </w:tr>
      <w:tr>
        <w:tc>
          <w:tcPr>
            <w:tcW w:type="dxa" w:w="5112"/>
            <w:tcBorders>
              <w:top w:sz="0" w:val="single" w:color="FFFFFF"/>
              <w:left w:sz="0" w:val="single" w:color="FFFFFF"/>
              <w:bottom w:sz="0" w:val="single" w:color="FFFFFF"/>
              <w:right w:sz="0" w:val="single" w:color="FFFFFF"/>
            </w:tcBorders>
            <w:shd w:fill="F3F6F8"/>
          </w:tcPr>
          <w:p>
            <w:r>
              <w:rPr>
                <w:color w:val="102A43"/>
                <w:sz w:val="17"/>
              </w:rPr>
              <w:t>Date</w:t>
            </w:r>
          </w:p>
        </w:tc>
        <w:tc>
          <w:tcPr>
            <w:tcW w:type="dxa" w:w="5112"/>
            <w:tcBorders>
              <w:top w:sz="0" w:val="single" w:color="FFFFFF"/>
              <w:left w:sz="0" w:val="single" w:color="FFFFFF"/>
              <w:bottom w:sz="0" w:val="single" w:color="FFFFFF"/>
              <w:right w:sz="0" w:val="single" w:color="FFFFFF"/>
            </w:tcBorders>
            <w:shd w:fill="F3F6F8"/>
          </w:tcPr>
          <w:p>
            <w:r>
              <w:rPr>
                <w:color w:val="102A43"/>
                <w:sz w:val="17"/>
              </w:rPr>
              <w:t>May 2026</w:t>
            </w:r>
          </w:p>
        </w:tc>
      </w:tr>
    </w:tbl>
    <w:p/>
    <w:p>
      <w:pPr>
        <w:pStyle w:val="SmallNote"/>
        <w:jc w:val="left"/>
      </w:pPr>
      <w:r>
        <w:rPr>
          <w:color w:val="5B6770"/>
          <w:sz w:val="16"/>
        </w:rPr>
        <w:t>This Investor Brief is provided for institutional information purposes only and is intended for controlled investor, partner and adviser review.</w:t>
      </w:r>
    </w:p>
    <w:p>
      <w:r>
        <w:br w:type="page"/>
      </w:r>
    </w:p>
    <w:p>
      <w:pPr>
        <w:pStyle w:val="Heading1"/>
      </w:pPr>
      <w:r>
        <w:t>Contents</w:t>
      </w:r>
    </w:p>
    <w:p>
      <w:r>
        <w:rPr>
          <w:b/>
          <w:color w:val="0B1F33"/>
        </w:rPr>
        <w:t>1. Executive Summary</w:t>
      </w:r>
      <w:r>
        <w:t xml:space="preserve"> - Market problem, solution and platform positioning</w:t>
      </w:r>
    </w:p>
    <w:p>
      <w:r>
        <w:rPr>
          <w:b/>
          <w:color w:val="0B1F33"/>
        </w:rPr>
        <w:t>2. Platform Positioning</w:t>
      </w:r>
      <w:r>
        <w:t xml:space="preserve"> - Trust, access and market organisation</w:t>
      </w:r>
    </w:p>
    <w:p>
      <w:r>
        <w:rPr>
          <w:b/>
          <w:color w:val="0B1F33"/>
        </w:rPr>
        <w:t>3. Market Problem</w:t>
      </w:r>
      <w:r>
        <w:t xml:space="preserve"> - Access and trust gap</w:t>
      </w:r>
    </w:p>
    <w:p>
      <w:r>
        <w:rPr>
          <w:b/>
          <w:color w:val="0B1F33"/>
        </w:rPr>
        <w:t>4. Konto Solution</w:t>
      </w:r>
      <w:r>
        <w:t xml:space="preserve"> - Who the platform serves</w:t>
      </w:r>
    </w:p>
    <w:p>
      <w:r>
        <w:rPr>
          <w:b/>
          <w:color w:val="0B1F33"/>
        </w:rPr>
        <w:t>5. Core Platform Components</w:t>
      </w:r>
      <w:r>
        <w:t xml:space="preserve"> - Membership, SMEs, agents, communities and partners</w:t>
      </w:r>
    </w:p>
    <w:p>
      <w:r>
        <w:rPr>
          <w:b/>
          <w:color w:val="0B1F33"/>
        </w:rPr>
        <w:t>6. Phased Development Model</w:t>
      </w:r>
      <w:r>
        <w:t xml:space="preserve"> - Phase 1 to Phase 3</w:t>
      </w:r>
    </w:p>
    <w:p>
      <w:r>
        <w:rPr>
          <w:b/>
          <w:color w:val="0B1F33"/>
        </w:rPr>
        <w:t>7. Revenue Architecture</w:t>
      </w:r>
      <w:r>
        <w:t xml:space="preserve"> - Commercial pathways</w:t>
      </w:r>
    </w:p>
    <w:p>
      <w:r>
        <w:rPr>
          <w:b/>
          <w:color w:val="0B1F33"/>
        </w:rPr>
        <w:t>8. Investment Thesis</w:t>
      </w:r>
      <w:r>
        <w:t xml:space="preserve"> - Key investor drivers</w:t>
      </w:r>
    </w:p>
    <w:p>
      <w:r>
        <w:rPr>
          <w:b/>
          <w:color w:val="0B1F33"/>
        </w:rPr>
        <w:t>9. Strategic Role Within NCDF Group</w:t>
      </w:r>
      <w:r>
        <w:t xml:space="preserve"> - Platform alignment</w:t>
      </w:r>
    </w:p>
    <w:p>
      <w:r>
        <w:rPr>
          <w:b/>
          <w:color w:val="0B1F33"/>
        </w:rPr>
        <w:t>10. Partner Opportunity</w:t>
      </w:r>
      <w:r>
        <w:t xml:space="preserve"> - Institutional collaboration pathways</w:t>
      </w:r>
    </w:p>
    <w:p>
      <w:r>
        <w:rPr>
          <w:b/>
          <w:color w:val="0B1F33"/>
        </w:rPr>
        <w:t>11. Impact Proposition</w:t>
      </w:r>
      <w:r>
        <w:t xml:space="preserve"> - Financial inclusion and development outcomes</w:t>
      </w:r>
    </w:p>
    <w:p>
      <w:r>
        <w:rPr>
          <w:b/>
          <w:color w:val="0B1F33"/>
        </w:rPr>
        <w:t>12. Institutional Readiness</w:t>
      </w:r>
      <w:r>
        <w:t xml:space="preserve"> - Governance, compliance, technology and data room</w:t>
      </w:r>
    </w:p>
    <w:p>
      <w:r>
        <w:rPr>
          <w:b/>
          <w:color w:val="0B1F33"/>
        </w:rPr>
        <w:t>13. Risk and Compliance Discipline</w:t>
      </w:r>
      <w:r>
        <w:t xml:space="preserve"> - Activation-phase regulatory posture</w:t>
      </w:r>
    </w:p>
    <w:p>
      <w:r>
        <w:rPr>
          <w:b/>
          <w:color w:val="0B1F33"/>
        </w:rPr>
        <w:t>14. Use of Investor Capital</w:t>
      </w:r>
      <w:r>
        <w:t xml:space="preserve"> - Deployment priorities</w:t>
      </w:r>
    </w:p>
    <w:p>
      <w:r>
        <w:rPr>
          <w:b/>
          <w:color w:val="0B1F33"/>
        </w:rPr>
        <w:t>15. Investor Engagement Pathway</w:t>
      </w:r>
      <w:r>
        <w:t xml:space="preserve"> - Controlled materials and diligence process</w:t>
      </w:r>
    </w:p>
    <w:p>
      <w:r>
        <w:rPr>
          <w:b/>
          <w:color w:val="0B1F33"/>
        </w:rPr>
        <w:t>16. Closing Statement and Notice</w:t>
      </w:r>
      <w:r>
        <w:t xml:space="preserve"> - Final positioning and disclaimer</w:t>
      </w:r>
    </w:p>
    <w:p>
      <w:r>
        <w:br w:type="page"/>
      </w:r>
    </w:p>
    <w:tbl>
      <w:tblPr>
        <w:tblW w:type="auto" w:w="0"/>
        <w:tblLook w:firstColumn="1" w:firstRow="1" w:lastColumn="0" w:lastRow="0" w:noHBand="0" w:noVBand="1" w:val="04A0"/>
      </w:tblPr>
      <w:tblGrid>
        <w:gridCol w:w="10224"/>
      </w:tblGrid>
      <w:tr>
        <w:tc>
          <w:tcPr>
            <w:tcW w:type="dxa" w:w="10224"/>
            <w:tcBorders>
              <w:top w:sz="8" w:val="single" w:color="0F766E"/>
              <w:left w:sz="8" w:val="single" w:color="0F766E"/>
              <w:bottom w:sz="8" w:val="single" w:color="0F766E"/>
              <w:right w:sz="8" w:val="single" w:color="0F766E"/>
            </w:tcBorders>
            <w:shd w:fill="ECFDF5"/>
          </w:tcPr>
          <w:p>
            <w:r>
              <w:rPr>
                <w:b/>
                <w:color w:val="0F766E"/>
                <w:sz w:val="20"/>
              </w:rPr>
              <w:t>Konto Financial Group Plc is being built to organise individuals, SMEs, merchants, agents and communities so trusted financial services can reach them responsibly through licensed partners, approved channels and future digital tools.</w:t>
            </w:r>
          </w:p>
        </w:tc>
      </w:tr>
    </w:tbl>
    <w:p/>
    <w:p>
      <w:pPr>
        <w:pStyle w:val="Heading1"/>
      </w:pPr>
      <w:r>
        <w:t>1. Executive Summary</w:t>
      </w:r>
    </w:p>
    <w:p>
      <w:r>
        <w:t>Financial inclusion remains one of the most important structural opportunities across emerging markets. Millions of people, microbusinesses, traders, artisans, informal workers, young entrepreneurs, women-led businesses and community groups remain economically active but insufficiently connected to formal financial systems.</w:t>
      </w:r>
    </w:p>
    <w:p>
      <w:r>
        <w:t>Many do not lack economic activity. They lack visibility, documentation, financial literacy, trusted access points, responsible onboarding channels and structured pathways into approved financial services.</w:t>
      </w:r>
    </w:p>
    <w:p>
      <w:r>
        <w:t>Konto Financial Group Plc is being developed to address this gap. The platform combines financial inclusion membership, SME and merchant profiling, community onboarding, agent recruitment and readiness, financial literacy, partner referrals, data and inclusion insights, future app-based tools and responsible access to licensed financial service partners.</w:t>
      </w:r>
    </w:p>
    <w:p>
      <w:r>
        <w:t>For investors and institutional partners, Konto represents an opportunity to participate in the development of a scalable financial inclusion access platform within the wider NCDF Group ecosystem.</w:t>
      </w:r>
    </w:p>
    <w:p>
      <w:pPr>
        <w:pStyle w:val="Heading2"/>
      </w:pPr>
      <w:r>
        <w:t>Core Platform Summary</w:t>
      </w:r>
    </w:p>
    <w:tbl>
      <w:tblPr>
        <w:tblW w:type="auto" w:w="0"/>
        <w:jc w:val="center"/>
        <w:tblLook w:firstColumn="1" w:firstRow="1" w:lastColumn="0" w:lastRow="0" w:noHBand="0" w:noVBand="1" w:val="04A0"/>
      </w:tblPr>
      <w:tblGrid>
        <w:gridCol w:w="5112"/>
        <w:gridCol w:w="5112"/>
      </w:tblGrid>
      <w:tr>
        <w:tc>
          <w:tcPr>
            <w:tcW w:type="dxa" w:w="5112"/>
            <w:tcBorders>
              <w:top w:sz="6" w:val="single" w:color="D7DEE8"/>
              <w:left w:sz="6" w:val="single" w:color="D7DEE8"/>
              <w:bottom w:sz="6" w:val="single" w:color="D7DEE8"/>
              <w:right w:sz="6" w:val="single" w:color="D7DEE8"/>
            </w:tcBorders>
            <w:shd w:fill="F8FAFC"/>
          </w:tcPr>
          <w:p>
            <w:r>
              <w:rPr>
                <w:b/>
                <w:color w:val="0F766E"/>
                <w:sz w:val="19"/>
              </w:rPr>
              <w:t>Platform Role</w:t>
            </w:r>
          </w:p>
          <w:p>
            <w:pPr>
              <w:spacing w:after="60"/>
            </w:pPr>
            <w:r>
              <w:rPr>
                <w:sz w:val="17"/>
              </w:rPr>
              <w:t>NCDF Group financial inclusion and digital finance platform.</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Market Focus</w:t>
            </w:r>
          </w:p>
          <w:p>
            <w:pPr>
              <w:spacing w:after="60"/>
            </w:pPr>
            <w:r>
              <w:rPr>
                <w:sz w:val="17"/>
              </w:rPr>
              <w:t>Individuals, SMEs, merchants, agents, communities and underserved market segments.</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Current Status</w:t>
            </w:r>
          </w:p>
          <w:p>
            <w:pPr>
              <w:spacing w:after="60"/>
            </w:pPr>
            <w:r>
              <w:rPr>
                <w:sz w:val="17"/>
              </w:rPr>
              <w:t>Activation phase: membership, onboarding, agent readiness, partnership and digital platform development.</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Regulated Services</w:t>
            </w:r>
          </w:p>
          <w:p>
            <w:pPr>
              <w:spacing w:after="60"/>
            </w:pPr>
            <w:r>
              <w:rPr>
                <w:sz w:val="17"/>
              </w:rPr>
              <w:t>To be delivered only through duly licensed partners or upon applicable approvals.</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Commercial Logic</w:t>
            </w:r>
          </w:p>
          <w:p>
            <w:pPr>
              <w:spacing w:after="60"/>
            </w:pPr>
            <w:r>
              <w:rPr>
                <w:sz w:val="17"/>
              </w:rPr>
              <w:t>Revenue from access, readiness, training, partner referrals, sponsored programmes, insights and future digital tools.</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Institutional Fit</w:t>
            </w:r>
          </w:p>
          <w:p>
            <w:pPr>
              <w:spacing w:after="60"/>
            </w:pPr>
            <w:r>
              <w:rPr>
                <w:sz w:val="17"/>
              </w:rPr>
              <w:t>Aligned to NCDF Group’s enterprise growth, inclusion and development finance ecosystem.</w:t>
            </w:r>
          </w:p>
        </w:tc>
      </w:tr>
    </w:tbl>
    <w:p/>
    <w:p>
      <w:pPr>
        <w:pStyle w:val="Heading1"/>
      </w:pPr>
      <w:r>
        <w:t>2. Platform Positioning</w:t>
      </w:r>
    </w:p>
    <w:p>
      <w:r>
        <w:t>Konto is not positioned as a conventional bank, standalone payment app or informal lending scheme. It is being developed as a financial inclusion access infrastructure platform.</w:t>
      </w:r>
    </w:p>
    <w:p>
      <w:r>
        <w:t>Its role is to organise the market before products are distributed. This means helping underserved individuals, SMEs, merchants, agents and community groups become visible, educated, profiled, onboarded, prepared, connected, digitally reachable and responsibly linked to licensed financial partners.</w:t>
      </w:r>
    </w:p>
    <w:p>
      <w:r>
        <w:t>Konto is designed to serve as the access layer between communities and formal financial systems.</w:t>
      </w:r>
    </w:p>
    <w:p>
      <w:pPr>
        <w:pStyle w:val="Heading1"/>
      </w:pPr>
      <w:r>
        <w:t>3. The Market Problem</w:t>
      </w:r>
    </w:p>
    <w:p>
      <w:pPr>
        <w:pStyle w:val="Callout"/>
      </w:pPr>
      <w:r>
        <w:t>Financial exclusion is not only a product gap. It is an access and trust gap.</w:t>
      </w:r>
    </w:p>
    <w:p>
      <w:r>
        <w:t>Across many underserved communities, financial products may exist, but people and small businesses remain disconnected from them because of structural barriers.</w:t>
      </w:r>
    </w:p>
    <w:p>
      <w:pPr>
        <w:pStyle w:val="ListBullet"/>
        <w:spacing w:after="20"/>
      </w:pPr>
      <w:r>
        <w:t>Limited financial literacy</w:t>
      </w:r>
    </w:p>
    <w:p>
      <w:pPr>
        <w:pStyle w:val="ListBullet"/>
        <w:spacing w:after="20"/>
      </w:pPr>
      <w:r>
        <w:t>Weak documentation</w:t>
      </w:r>
    </w:p>
    <w:p>
      <w:pPr>
        <w:pStyle w:val="ListBullet"/>
        <w:spacing w:after="20"/>
      </w:pPr>
      <w:r>
        <w:t>Low digital confidence</w:t>
      </w:r>
    </w:p>
    <w:p>
      <w:pPr>
        <w:pStyle w:val="ListBullet"/>
        <w:spacing w:after="20"/>
      </w:pPr>
      <w:r>
        <w:t>Lack of trusted local access points</w:t>
      </w:r>
    </w:p>
    <w:p>
      <w:pPr>
        <w:pStyle w:val="ListBullet"/>
        <w:spacing w:after="20"/>
      </w:pPr>
      <w:r>
        <w:t>Limited formal business records</w:t>
      </w:r>
    </w:p>
    <w:p>
      <w:pPr>
        <w:pStyle w:val="ListBullet"/>
        <w:spacing w:after="20"/>
      </w:pPr>
      <w:r>
        <w:t>Low visibility of informal SMEs</w:t>
      </w:r>
    </w:p>
    <w:p>
      <w:pPr>
        <w:pStyle w:val="ListBullet"/>
        <w:spacing w:after="20"/>
      </w:pPr>
      <w:r>
        <w:t>Difficulty reaching customers outside traditional branches</w:t>
      </w:r>
    </w:p>
    <w:p>
      <w:pPr>
        <w:pStyle w:val="ListBullet"/>
        <w:spacing w:after="20"/>
      </w:pPr>
      <w:r>
        <w:t>Fragmented agent networks</w:t>
      </w:r>
    </w:p>
    <w:p>
      <w:pPr>
        <w:pStyle w:val="ListBullet"/>
        <w:spacing w:after="20"/>
      </w:pPr>
      <w:r>
        <w:t>Weak customer protection awareness</w:t>
      </w:r>
    </w:p>
    <w:p>
      <w:pPr>
        <w:pStyle w:val="ListBullet"/>
        <w:spacing w:after="20"/>
      </w:pPr>
      <w:r>
        <w:t>Insufficient data on community and household financial needs</w:t>
      </w:r>
    </w:p>
    <w:p>
      <w:r>
        <w:t>This creates a significant market inefficiency. Financial institutions need trusted routes to customers. SMEs need visibility and readiness. Communities need education and confidence. Agents need training and supervision. Partners need reliable market activation. Konto is being developed to connect these needs into one organised platform.</w:t>
      </w:r>
    </w:p>
    <w:p>
      <w:pPr>
        <w:pStyle w:val="Heading1"/>
      </w:pPr>
      <w:r>
        <w:t>4. The Konto Solution</w:t>
      </w:r>
    </w:p>
    <w:tbl>
      <w:tblPr>
        <w:tblW w:type="auto" w:w="0"/>
        <w:jc w:val="center"/>
        <w:tblLook w:firstColumn="1" w:firstRow="1" w:lastColumn="0" w:lastRow="0" w:noHBand="0" w:noVBand="1" w:val="04A0"/>
      </w:tblPr>
      <w:tblGrid>
        <w:gridCol w:w="5112"/>
        <w:gridCol w:w="5112"/>
      </w:tblGrid>
      <w:tr>
        <w:tc>
          <w:tcPr>
            <w:tcW w:type="dxa" w:w="5112"/>
            <w:tcBorders>
              <w:top w:sz="6" w:val="single" w:color="D7DEE8"/>
              <w:left w:sz="6" w:val="single" w:color="D7DEE8"/>
              <w:bottom w:sz="6" w:val="single" w:color="D7DEE8"/>
              <w:right w:sz="6" w:val="single" w:color="D7DEE8"/>
            </w:tcBorders>
            <w:shd w:fill="F8FAFC"/>
          </w:tcPr>
          <w:p>
            <w:r>
              <w:rPr>
                <w:b/>
                <w:color w:val="0F766E"/>
                <w:sz w:val="19"/>
              </w:rPr>
              <w:t>For Individuals and Households</w:t>
            </w:r>
          </w:p>
          <w:p>
            <w:pPr>
              <w:spacing w:after="60"/>
            </w:pPr>
            <w:r>
              <w:rPr>
                <w:sz w:val="17"/>
              </w:rPr>
              <w:t>Financial inclusion membership, financial literacy, community onboarding, partner opportunity updates and future digital tools.</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For SMEs and Merchants</w:t>
            </w:r>
          </w:p>
          <w:p>
            <w:pPr>
              <w:spacing w:after="60"/>
            </w:pPr>
            <w:r>
              <w:rPr>
                <w:sz w:val="17"/>
              </w:rPr>
              <w:t>Business profiling, merchant readiness, financial literacy, documentation support, digital visibility and partner-referral readiness.</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For Agents</w:t>
            </w:r>
          </w:p>
          <w:p>
            <w:pPr>
              <w:spacing w:after="60"/>
            </w:pPr>
            <w:r>
              <w:rPr>
                <w:sz w:val="17"/>
              </w:rPr>
              <w:t>Identification, screening, training and preparation of community agents for potential activation through approved partner arrangements.</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For Communities</w:t>
            </w:r>
          </w:p>
          <w:p>
            <w:pPr>
              <w:spacing w:after="60"/>
            </w:pPr>
            <w:r>
              <w:rPr>
                <w:sz w:val="17"/>
              </w:rPr>
              <w:t>Support for community chapters, associations, market groups, cooperatives, women groups, youth groups and local networks.</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For Licensed Partners</w:t>
            </w:r>
          </w:p>
          <w:p>
            <w:pPr>
              <w:spacing w:after="60"/>
            </w:pPr>
            <w:r>
              <w:rPr>
                <w:sz w:val="17"/>
              </w:rPr>
              <w:t>A responsible access pathway for banks, fintechs, insurers, DFIs, NGOs, government programmes and development partners.</w:t>
            </w:r>
          </w:p>
        </w:tc>
        <w:tc>
          <w:tcPr>
            <w:tcW w:type="dxa" w:w="5112"/>
            <w:tcBorders>
              <w:top w:sz="6" w:val="single" w:color="D7DEE8"/>
              <w:left w:sz="6" w:val="single" w:color="D7DEE8"/>
              <w:bottom w:sz="6" w:val="single" w:color="D7DEE8"/>
              <w:right w:sz="6" w:val="single" w:color="D7DEE8"/>
            </w:tcBorders>
            <w:shd w:fill="FFFFFF"/>
          </w:tcPr>
          <w:p>
            <w:r/>
          </w:p>
        </w:tc>
      </w:tr>
    </w:tbl>
    <w:p/>
    <w:p>
      <w:pPr>
        <w:pStyle w:val="Heading1"/>
      </w:pPr>
      <w:r>
        <w:t>5. Core Platform Components</w:t>
      </w:r>
    </w:p>
    <w:tbl>
      <w:tblPr>
        <w:tblW w:type="auto" w:w="0"/>
        <w:jc w:val="center"/>
        <w:tblLook w:firstColumn="1" w:firstRow="1" w:lastColumn="0" w:lastRow="0" w:noHBand="0" w:noVBand="1" w:val="04A0"/>
      </w:tblPr>
      <w:tblGrid>
        <w:gridCol w:w="5112"/>
        <w:gridCol w:w="5112"/>
      </w:tblGrid>
      <w:tr>
        <w:tc>
          <w:tcPr>
            <w:tcW w:type="dxa" w:w="5112"/>
            <w:tcBorders>
              <w:top w:sz="6" w:val="single" w:color="D7DEE8"/>
              <w:left w:sz="6" w:val="single" w:color="D7DEE8"/>
              <w:bottom w:sz="6" w:val="single" w:color="D7DEE8"/>
              <w:right w:sz="6" w:val="single" w:color="D7DEE8"/>
            </w:tcBorders>
            <w:shd w:fill="F8FAFC"/>
          </w:tcPr>
          <w:p>
            <w:r>
              <w:rPr>
                <w:b/>
                <w:color w:val="0F766E"/>
                <w:sz w:val="19"/>
              </w:rPr>
              <w:t>Konto Access Membership</w:t>
            </w:r>
          </w:p>
          <w:p>
            <w:pPr>
              <w:spacing w:after="60"/>
            </w:pPr>
            <w:r>
              <w:rPr>
                <w:sz w:val="17"/>
              </w:rPr>
              <w:t>Structured membership pathway for individuals, households, SMEs, agents and community groups seeking financial education, onboarding support and future digital access.</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SME &amp; Merchant Readiness</w:t>
            </w:r>
          </w:p>
          <w:p>
            <w:pPr>
              <w:spacing w:after="60"/>
            </w:pPr>
            <w:r>
              <w:rPr>
                <w:sz w:val="17"/>
              </w:rPr>
              <w:t>Support for traders, artisans, merchants and microbusinesses to improve visibility, documentation, financial readiness and partner-access potential.</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Agent Readiness Programme</w:t>
            </w:r>
          </w:p>
          <w:p>
            <w:pPr>
              <w:spacing w:after="60"/>
            </w:pPr>
            <w:r>
              <w:rPr>
                <w:sz w:val="17"/>
              </w:rPr>
              <w:t>Recruiting, screening, training and preparing community agents for potential activation through licensed partners or approved channels.</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Community Financial Literacy</w:t>
            </w:r>
          </w:p>
          <w:p>
            <w:pPr>
              <w:spacing w:after="60"/>
            </w:pPr>
            <w:r>
              <w:rPr>
                <w:sz w:val="17"/>
              </w:rPr>
              <w:t>Scalable education and activation model for markets, associations, cooperatives, youth groups, women-led groups and local networks.</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Partner Distribution Pathways</w:t>
            </w:r>
          </w:p>
          <w:p>
            <w:pPr>
              <w:spacing w:after="60"/>
            </w:pPr>
            <w:r>
              <w:rPr>
                <w:sz w:val="17"/>
              </w:rPr>
              <w:t>Framework for connecting approved partners to underserved individuals, SMEs, agents, merchants and communities responsibly.</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Digital Platform and App Roadmap</w:t>
            </w:r>
          </w:p>
          <w:p>
            <w:pPr>
              <w:spacing w:after="60"/>
            </w:pPr>
            <w:r>
              <w:rPr>
                <w:sz w:val="17"/>
              </w:rPr>
              <w:t>Technology layer designed to support digital onboarding, member engagement, SME tools, agent dashboards, financial literacy and partner referrals.</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Inclusion Data and Insights</w:t>
            </w:r>
          </w:p>
          <w:p>
            <w:pPr>
              <w:spacing w:after="60"/>
            </w:pPr>
            <w:r>
              <w:rPr>
                <w:sz w:val="17"/>
              </w:rPr>
              <w:t>Consent-based, anonymised and aggregated market intelligence to support better understanding of underserved communities and financial access gaps.</w:t>
            </w:r>
          </w:p>
        </w:tc>
        <w:tc>
          <w:tcPr>
            <w:tcW w:type="dxa" w:w="5112"/>
            <w:tcBorders>
              <w:top w:sz="6" w:val="single" w:color="D7DEE8"/>
              <w:left w:sz="6" w:val="single" w:color="D7DEE8"/>
              <w:bottom w:sz="6" w:val="single" w:color="D7DEE8"/>
              <w:right w:sz="6" w:val="single" w:color="D7DEE8"/>
            </w:tcBorders>
            <w:shd w:fill="FFFFFF"/>
          </w:tcPr>
          <w:p>
            <w:r/>
          </w:p>
        </w:tc>
      </w:tr>
    </w:tbl>
    <w:p/>
    <w:p>
      <w:pPr>
        <w:pStyle w:val="Heading1"/>
      </w:pPr>
      <w:r>
        <w:t>6. Phased Development Model</w:t>
      </w:r>
    </w:p>
    <w:tbl>
      <w:tblPr>
        <w:tblW w:type="auto" w:w="0"/>
        <w:jc w:val="center"/>
        <w:tblLook w:firstColumn="1" w:firstRow="1" w:lastColumn="0" w:lastRow="0" w:noHBand="0" w:noVBand="1" w:val="04A0"/>
      </w:tblPr>
      <w:tblGrid>
        <w:gridCol w:w="3408"/>
        <w:gridCol w:w="3408"/>
        <w:gridCol w:w="3408"/>
      </w:tblGrid>
      <w:tr>
        <w:tc>
          <w:tcPr>
            <w:tcW w:type="dxa" w:w="3408"/>
            <w:tcBorders>
              <w:top w:sz="6" w:val="single" w:color="D7DEE8"/>
              <w:left w:sz="6" w:val="single" w:color="D7DEE8"/>
              <w:bottom w:sz="6" w:val="single" w:color="D7DEE8"/>
              <w:right w:sz="6" w:val="single" w:color="D7DEE8"/>
            </w:tcBorders>
            <w:shd w:fill="F8FAFC"/>
          </w:tcPr>
          <w:p>
            <w:r>
              <w:rPr>
                <w:b/>
                <w:color w:val="0F766E"/>
                <w:sz w:val="19"/>
              </w:rPr>
              <w:t>Phase 1: Financial Inclusion Membership &amp; Market Activation</w:t>
            </w:r>
          </w:p>
          <w:p>
            <w:pPr>
              <w:spacing w:after="60"/>
            </w:pPr>
            <w:r>
              <w:rPr>
                <w:sz w:val="17"/>
              </w:rPr>
              <w:t>Member registration, financial literacy, SME and merchant onboarding, agent candidate recruitment, community chapter development, partner referral preparation, market insights, sponsored programmes and app waitlist development.</w:t>
            </w:r>
          </w:p>
        </w:tc>
        <w:tc>
          <w:tcPr>
            <w:tcW w:type="dxa" w:w="3408"/>
            <w:tcBorders>
              <w:top w:sz="6" w:val="single" w:color="D7DEE8"/>
              <w:left w:sz="6" w:val="single" w:color="D7DEE8"/>
              <w:bottom w:sz="6" w:val="single" w:color="D7DEE8"/>
              <w:right w:sz="6" w:val="single" w:color="D7DEE8"/>
            </w:tcBorders>
            <w:shd w:fill="F8FAFC"/>
          </w:tcPr>
          <w:p>
            <w:r>
              <w:rPr>
                <w:b/>
                <w:color w:val="0F766E"/>
                <w:sz w:val="19"/>
              </w:rPr>
              <w:t>Phase 2: Agency Banking &amp; Licensed Partner Activation</w:t>
            </w:r>
          </w:p>
          <w:p>
            <w:pPr>
              <w:spacing w:after="60"/>
            </w:pPr>
            <w:r>
              <w:rPr>
                <w:sz w:val="17"/>
              </w:rPr>
              <w:t>Partner-led agent activation, merchant services, transaction access through licensed partners, customer protection workflows, complaints handling, partner reporting and field supervision.</w:t>
            </w:r>
          </w:p>
        </w:tc>
        <w:tc>
          <w:tcPr>
            <w:tcW w:type="dxa" w:w="3408"/>
            <w:tcBorders>
              <w:top w:sz="6" w:val="single" w:color="D7DEE8"/>
              <w:left w:sz="6" w:val="single" w:color="D7DEE8"/>
              <w:bottom w:sz="6" w:val="single" w:color="D7DEE8"/>
              <w:right w:sz="6" w:val="single" w:color="D7DEE8"/>
            </w:tcBorders>
            <w:shd w:fill="F8FAFC"/>
          </w:tcPr>
          <w:p>
            <w:r>
              <w:rPr>
                <w:b/>
                <w:color w:val="0F766E"/>
                <w:sz w:val="19"/>
              </w:rPr>
              <w:t>Phase 3: Digital App &amp; Platform Tools</w:t>
            </w:r>
          </w:p>
          <w:p>
            <w:pPr>
              <w:spacing w:after="60"/>
            </w:pPr>
            <w:r>
              <w:rPr>
                <w:sz w:val="17"/>
              </w:rPr>
              <w:t>Konto member app, SME profile tools, agent dashboards, digital financial literacy, partner product marketplace, merchant tools, reporting dashboards and data insights.</w:t>
            </w:r>
          </w:p>
        </w:tc>
      </w:tr>
    </w:tbl>
    <w:p/>
    <w:p>
      <w:pPr>
        <w:pStyle w:val="Heading1"/>
      </w:pPr>
      <w:r>
        <w:t>7. Revenue Architecture</w:t>
      </w:r>
    </w:p>
    <w:tbl>
      <w:tblPr>
        <w:tblW w:type="auto" w:w="0"/>
        <w:jc w:val="center"/>
        <w:tblLook w:firstColumn="1" w:firstRow="1" w:lastColumn="0" w:lastRow="0" w:noHBand="0" w:noVBand="1" w:val="04A0"/>
      </w:tblPr>
      <w:tblGrid>
        <w:gridCol w:w="3408"/>
        <w:gridCol w:w="3408"/>
        <w:gridCol w:w="3408"/>
      </w:tblGrid>
      <w:tr>
        <w:tc>
          <w:tcPr>
            <w:tcW w:type="dxa" w:w="3408"/>
            <w:tcBorders>
              <w:top w:sz="6" w:val="single" w:color="D7DEE8"/>
              <w:left w:sz="6" w:val="single" w:color="D7DEE8"/>
              <w:bottom w:sz="6" w:val="single" w:color="D7DEE8"/>
              <w:right w:sz="6" w:val="single" w:color="D7DEE8"/>
            </w:tcBorders>
            <w:shd w:fill="F8FAFC"/>
          </w:tcPr>
          <w:p>
            <w:r>
              <w:rPr>
                <w:b/>
                <w:color w:val="0F766E"/>
                <w:sz w:val="19"/>
              </w:rPr>
              <w:t>Phase 1 Revenue</w:t>
            </w:r>
          </w:p>
          <w:p>
            <w:pPr>
              <w:spacing w:after="60"/>
            </w:pPr>
            <w:r>
              <w:rPr>
                <w:sz w:val="17"/>
              </w:rPr>
              <w:t>Membership fees; SME and merchant registration; agent readiness training; financial literacy programmes; community chapter onboarding; sponsored inclusion campaigns; partner referral arrangements; market intelligence reports.</w:t>
            </w:r>
          </w:p>
        </w:tc>
        <w:tc>
          <w:tcPr>
            <w:tcW w:type="dxa" w:w="3408"/>
            <w:tcBorders>
              <w:top w:sz="6" w:val="single" w:color="D7DEE8"/>
              <w:left w:sz="6" w:val="single" w:color="D7DEE8"/>
              <w:bottom w:sz="6" w:val="single" w:color="D7DEE8"/>
              <w:right w:sz="6" w:val="single" w:color="D7DEE8"/>
            </w:tcBorders>
            <w:shd w:fill="F8FAFC"/>
          </w:tcPr>
          <w:p>
            <w:r>
              <w:rPr>
                <w:b/>
                <w:color w:val="0F766E"/>
                <w:sz w:val="19"/>
              </w:rPr>
              <w:t>Phase 2 Revenue</w:t>
            </w:r>
          </w:p>
          <w:p>
            <w:pPr>
              <w:spacing w:after="60"/>
            </w:pPr>
            <w:r>
              <w:rPr>
                <w:sz w:val="17"/>
              </w:rPr>
              <w:t>Agent network management fees; partner onboarding fees; transaction commissions through licensed partners; merchant activation support; device support economics where permitted; field supervision fees; partner reporting services.</w:t>
            </w:r>
          </w:p>
        </w:tc>
        <w:tc>
          <w:tcPr>
            <w:tcW w:type="dxa" w:w="3408"/>
            <w:tcBorders>
              <w:top w:sz="6" w:val="single" w:color="D7DEE8"/>
              <w:left w:sz="6" w:val="single" w:color="D7DEE8"/>
              <w:bottom w:sz="6" w:val="single" w:color="D7DEE8"/>
              <w:right w:sz="6" w:val="single" w:color="D7DEE8"/>
            </w:tcBorders>
            <w:shd w:fill="F8FAFC"/>
          </w:tcPr>
          <w:p>
            <w:r>
              <w:rPr>
                <w:b/>
                <w:color w:val="0F766E"/>
                <w:sz w:val="19"/>
              </w:rPr>
              <w:t>Phase 3 Revenue</w:t>
            </w:r>
          </w:p>
          <w:p>
            <w:pPr>
              <w:spacing w:after="60"/>
            </w:pPr>
            <w:r>
              <w:rPr>
                <w:sz w:val="17"/>
              </w:rPr>
              <w:t>App subscriptions; SME digital tools; agent dashboard subscriptions; partner marketplace revenue; B2B reporting dashboards; data and analytics products; technology-enabled financial inclusion infrastructure.</w:t>
            </w:r>
          </w:p>
        </w:tc>
      </w:tr>
    </w:tbl>
    <w:p/>
    <w:p>
      <w:pPr>
        <w:pStyle w:val="Heading1"/>
      </w:pPr>
      <w:r>
        <w:t>8. Investment Thesis</w:t>
      </w:r>
    </w:p>
    <w:tbl>
      <w:tblPr>
        <w:tblW w:type="auto" w:w="0"/>
        <w:jc w:val="center"/>
        <w:tblLook w:firstColumn="1" w:firstRow="1" w:lastColumn="0" w:lastRow="0" w:noHBand="0" w:noVBand="1" w:val="04A0"/>
      </w:tblPr>
      <w:tblGrid>
        <w:gridCol w:w="5112"/>
        <w:gridCol w:w="5112"/>
      </w:tblGrid>
      <w:tr>
        <w:tc>
          <w:tcPr>
            <w:tcW w:type="dxa" w:w="5112"/>
            <w:tcBorders>
              <w:top w:sz="6" w:val="single" w:color="D7DEE8"/>
              <w:left w:sz="6" w:val="single" w:color="D7DEE8"/>
              <w:bottom w:sz="6" w:val="single" w:color="D7DEE8"/>
              <w:right w:sz="6" w:val="single" w:color="D7DEE8"/>
            </w:tcBorders>
            <w:shd w:fill="F8FAFC"/>
          </w:tcPr>
          <w:p>
            <w:r>
              <w:rPr>
                <w:b/>
                <w:color w:val="0F766E"/>
                <w:sz w:val="19"/>
              </w:rPr>
              <w:t>Underserved Market Demand</w:t>
            </w:r>
          </w:p>
          <w:p>
            <w:pPr>
              <w:spacing w:after="60"/>
            </w:pPr>
            <w:r>
              <w:rPr>
                <w:sz w:val="17"/>
              </w:rPr>
              <w:t>A large segment of individuals, households, SMEs and informal businesses remains underserved by traditional financial systems.</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Market Organisation Advantage</w:t>
            </w:r>
          </w:p>
          <w:p>
            <w:pPr>
              <w:spacing w:after="60"/>
            </w:pPr>
            <w:r>
              <w:rPr>
                <w:sz w:val="17"/>
              </w:rPr>
              <w:t>Konto creates value by organising people, SMEs, agents and communities before full financial-product activation.</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Agent Network Potential</w:t>
            </w:r>
          </w:p>
          <w:p>
            <w:pPr>
              <w:spacing w:after="60"/>
            </w:pPr>
            <w:r>
              <w:rPr>
                <w:sz w:val="17"/>
              </w:rPr>
              <w:t>A trusted agent network can support last-mile access, customer education, partner distribution and digital finance adoption.</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SME Formalisation Opportunity</w:t>
            </w:r>
          </w:p>
          <w:p>
            <w:pPr>
              <w:spacing w:after="60"/>
            </w:pPr>
            <w:r>
              <w:rPr>
                <w:sz w:val="17"/>
              </w:rPr>
              <w:t>Konto helps traders, artisans, merchants and microbusinesses become more visible and financially ready.</w:t>
            </w:r>
          </w:p>
        </w:tc>
      </w:tr>
      <w:tr>
        <w:tc>
          <w:tcPr>
            <w:tcW w:type="dxa" w:w="5112"/>
            <w:tcBorders>
              <w:top w:sz="6" w:val="single" w:color="D7DEE8"/>
              <w:left w:sz="6" w:val="single" w:color="D7DEE8"/>
              <w:bottom w:sz="6" w:val="single" w:color="D7DEE8"/>
              <w:right w:sz="6" w:val="single" w:color="D7DEE8"/>
            </w:tcBorders>
            <w:shd w:fill="F8FAFC"/>
          </w:tcPr>
          <w:p>
            <w:r>
              <w:rPr>
                <w:b/>
                <w:color w:val="0F766E"/>
                <w:sz w:val="19"/>
              </w:rPr>
              <w:t>Partner-Led Scale</w:t>
            </w:r>
          </w:p>
          <w:p>
            <w:pPr>
              <w:spacing w:after="60"/>
            </w:pPr>
            <w:r>
              <w:rPr>
                <w:sz w:val="17"/>
              </w:rPr>
              <w:t>Konto can scale through banks, fintechs, insurers, DFIs, NGOs, sponsors and government programmes.</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NCDF Group Platform Alignment</w:t>
            </w:r>
          </w:p>
          <w:p>
            <w:pPr>
              <w:spacing w:after="60"/>
            </w:pPr>
            <w:r>
              <w:rPr>
                <w:sz w:val="17"/>
              </w:rPr>
              <w:t>Konto benefits from NCDF Group’s institutional platform, governance discipline, investment ecosystem and impact-development positioning.</w:t>
            </w:r>
          </w:p>
        </w:tc>
      </w:tr>
    </w:tbl>
    <w:p/>
    <w:p>
      <w:pPr>
        <w:pStyle w:val="Heading1"/>
      </w:pPr>
      <w:r>
        <w:t>9. Strategic Role Within NCDF Group</w:t>
      </w:r>
    </w:p>
    <w:p>
      <w:r>
        <w:t>Konto sits within NCDF Group’s broader platform architecture as the financial inclusion and digital finance access platform.</w:t>
      </w:r>
    </w:p>
    <w:p>
      <w:r>
        <w:t>While NCDF Investment Management Plc supports capital pathways and investment structuring, Konto focuses on inclusive access at the individual, SME, merchant, agent and community level.</w:t>
      </w:r>
    </w:p>
    <w:p>
      <w:r>
        <w:t>This creates a complementary platform logic: NCDF builds capital and institutional development pathways. Konto brings financial access closer to people, SMEs and communities.</w:t>
      </w:r>
    </w:p>
    <w:p>
      <w:pPr>
        <w:pStyle w:val="Heading1"/>
      </w:pPr>
      <w:r>
        <w:t>10. Partner Opportunity</w:t>
      </w:r>
    </w:p>
    <w:p>
      <w:r>
        <w:t>Konto is designed to work with credible institutions that require responsible market access.</w:t>
      </w:r>
    </w:p>
    <w:tbl>
      <w:tblPr>
        <w:tblW w:type="auto" w:w="0"/>
        <w:jc w:val="center"/>
        <w:tblLook w:firstColumn="1" w:firstRow="1" w:lastColumn="0" w:lastRow="0" w:noHBand="0" w:noVBand="1" w:val="04A0"/>
      </w:tblPr>
      <w:tblGrid>
        <w:gridCol w:w="5112"/>
        <w:gridCol w:w="5112"/>
      </w:tblGrid>
      <w:tr>
        <w:tc>
          <w:tcPr>
            <w:tcW w:type="dxa" w:w="5112"/>
            <w:tcBorders>
              <w:top w:sz="6" w:val="single" w:color="D7DEE8"/>
              <w:left w:sz="6" w:val="single" w:color="D7DEE8"/>
              <w:bottom w:sz="6" w:val="single" w:color="D7DEE8"/>
              <w:right w:sz="6" w:val="single" w:color="D7DEE8"/>
            </w:tcBorders>
            <w:shd w:fill="F8FAFC"/>
          </w:tcPr>
          <w:p>
            <w:r>
              <w:rPr>
                <w:b/>
                <w:color w:val="0F766E"/>
                <w:sz w:val="19"/>
              </w:rPr>
              <w:t>Potential Partner Categories</w:t>
            </w:r>
          </w:p>
          <w:p>
            <w:pPr>
              <w:spacing w:after="60"/>
            </w:pPr>
            <w:r>
              <w:rPr>
                <w:sz w:val="17"/>
              </w:rPr>
              <w:t>Banks; microfinance banks; fintech companies; payment companies; insurance companies; HMO providers; pension operators; DFIs; NGOs; foundations; CSR sponsors; government programmes; technology providers; data and identity partners.</w:t>
            </w:r>
          </w:p>
        </w:tc>
        <w:tc>
          <w:tcPr>
            <w:tcW w:type="dxa" w:w="5112"/>
            <w:tcBorders>
              <w:top w:sz="6" w:val="single" w:color="D7DEE8"/>
              <w:left w:sz="6" w:val="single" w:color="D7DEE8"/>
              <w:bottom w:sz="6" w:val="single" w:color="D7DEE8"/>
              <w:right w:sz="6" w:val="single" w:color="D7DEE8"/>
            </w:tcBorders>
            <w:shd w:fill="F8FAFC"/>
          </w:tcPr>
          <w:p>
            <w:r>
              <w:rPr>
                <w:b/>
                <w:color w:val="0F766E"/>
                <w:sz w:val="19"/>
              </w:rPr>
              <w:t>Potential Collaboration Areas</w:t>
            </w:r>
          </w:p>
          <w:p>
            <w:pPr>
              <w:spacing w:after="60"/>
            </w:pPr>
            <w:r>
              <w:rPr>
                <w:sz w:val="17"/>
              </w:rPr>
              <w:t>Financial literacy campaigns; member onboarding; SME profiling; agent readiness; community programmes; partner-product referrals; sponsored programmes; digital finance activation; women and youth inclusion; market intelligence and reporting.</w:t>
            </w:r>
          </w:p>
        </w:tc>
      </w:tr>
    </w:tbl>
    <w:p/>
    <w:p>
      <w:pPr>
        <w:pStyle w:val="Heading1"/>
      </w:pPr>
      <w:r>
        <w:t>11. Impact Proposition</w:t>
      </w:r>
    </w:p>
    <w:p>
      <w:r>
        <w:t>Konto is commercially driven but impact-aligned. Its impact proposition includes:</w:t>
      </w:r>
    </w:p>
    <w:p>
      <w:pPr>
        <w:pStyle w:val="ListBullet"/>
        <w:spacing w:after="20"/>
      </w:pPr>
      <w:r>
        <w:t>Expanding financial inclusion</w:t>
      </w:r>
    </w:p>
    <w:p>
      <w:pPr>
        <w:pStyle w:val="ListBullet"/>
        <w:spacing w:after="20"/>
      </w:pPr>
      <w:r>
        <w:t>Improving SME visibility</w:t>
      </w:r>
    </w:p>
    <w:p>
      <w:pPr>
        <w:pStyle w:val="ListBullet"/>
        <w:spacing w:after="20"/>
      </w:pPr>
      <w:r>
        <w:t>Supporting women-led and youth-led enterprise</w:t>
      </w:r>
    </w:p>
    <w:p>
      <w:pPr>
        <w:pStyle w:val="ListBullet"/>
        <w:spacing w:after="20"/>
      </w:pPr>
      <w:r>
        <w:t>Creating agent entrepreneurship opportunities</w:t>
      </w:r>
    </w:p>
    <w:p>
      <w:pPr>
        <w:pStyle w:val="ListBullet"/>
        <w:spacing w:after="20"/>
      </w:pPr>
      <w:r>
        <w:t>Strengthening community financial literacy</w:t>
      </w:r>
    </w:p>
    <w:p>
      <w:pPr>
        <w:pStyle w:val="ListBullet"/>
        <w:spacing w:after="20"/>
      </w:pPr>
      <w:r>
        <w:t>Improving access to trusted financial service pathways</w:t>
      </w:r>
    </w:p>
    <w:p>
      <w:pPr>
        <w:pStyle w:val="ListBullet"/>
        <w:spacing w:after="20"/>
      </w:pPr>
      <w:r>
        <w:t>Supporting digital inclusion</w:t>
      </w:r>
    </w:p>
    <w:p>
      <w:pPr>
        <w:pStyle w:val="ListBullet"/>
        <w:spacing w:after="20"/>
      </w:pPr>
      <w:r>
        <w:t>Enabling better data for financial inclusion programming</w:t>
      </w:r>
    </w:p>
    <w:p>
      <w:pPr>
        <w:pStyle w:val="ListBullet"/>
        <w:spacing w:after="20"/>
      </w:pPr>
      <w:r>
        <w:t>Increasing participation in the formal economy</w:t>
      </w:r>
    </w:p>
    <w:p>
      <w:pPr>
        <w:pStyle w:val="Heading1"/>
      </w:pPr>
      <w:r>
        <w:t>12. Institutional Readiness</w:t>
      </w:r>
    </w:p>
    <w:p>
      <w:r>
        <w:t>Konto is being prepared through an institutional readiness framework covering:</w:t>
      </w:r>
    </w:p>
    <w:p>
      <w:pPr>
        <w:pStyle w:val="ListBullet"/>
        <w:spacing w:after="20"/>
      </w:pPr>
      <w:r>
        <w:t>Corporate governance</w:t>
      </w:r>
    </w:p>
    <w:p>
      <w:pPr>
        <w:pStyle w:val="ListBullet"/>
        <w:spacing w:after="20"/>
      </w:pPr>
      <w:r>
        <w:t>Board oversight</w:t>
      </w:r>
    </w:p>
    <w:p>
      <w:pPr>
        <w:pStyle w:val="ListBullet"/>
        <w:spacing w:after="20"/>
      </w:pPr>
      <w:r>
        <w:t>Audited accounts</w:t>
      </w:r>
    </w:p>
    <w:p>
      <w:pPr>
        <w:pStyle w:val="ListBullet"/>
        <w:spacing w:after="20"/>
      </w:pPr>
      <w:r>
        <w:t>Capitalisation planning</w:t>
      </w:r>
    </w:p>
    <w:p>
      <w:pPr>
        <w:pStyle w:val="ListBullet"/>
        <w:spacing w:after="20"/>
      </w:pPr>
      <w:r>
        <w:t>Regulatory-readiness review</w:t>
      </w:r>
    </w:p>
    <w:p>
      <w:pPr>
        <w:pStyle w:val="ListBullet"/>
        <w:spacing w:after="20"/>
      </w:pPr>
      <w:r>
        <w:t>Licensing roadmap</w:t>
      </w:r>
    </w:p>
    <w:p>
      <w:pPr>
        <w:pStyle w:val="ListBullet"/>
        <w:spacing w:after="20"/>
      </w:pPr>
      <w:r>
        <w:t>Technology development</w:t>
      </w:r>
    </w:p>
    <w:p>
      <w:pPr>
        <w:pStyle w:val="ListBullet"/>
        <w:spacing w:after="20"/>
      </w:pPr>
      <w:r>
        <w:t>Compliance policies</w:t>
      </w:r>
    </w:p>
    <w:p>
      <w:pPr>
        <w:pStyle w:val="ListBullet"/>
        <w:spacing w:after="20"/>
      </w:pPr>
      <w:r>
        <w:t>Data protection</w:t>
      </w:r>
    </w:p>
    <w:p>
      <w:pPr>
        <w:pStyle w:val="ListBullet"/>
        <w:spacing w:after="20"/>
      </w:pPr>
      <w:r>
        <w:t>Agent network framework</w:t>
      </w:r>
    </w:p>
    <w:p>
      <w:pPr>
        <w:pStyle w:val="ListBullet"/>
        <w:spacing w:after="20"/>
      </w:pPr>
      <w:r>
        <w:t>SME and merchant onboarding</w:t>
      </w:r>
    </w:p>
    <w:p>
      <w:pPr>
        <w:pStyle w:val="ListBullet"/>
        <w:spacing w:after="20"/>
      </w:pPr>
      <w:r>
        <w:t>Investor materials</w:t>
      </w:r>
    </w:p>
    <w:p>
      <w:pPr>
        <w:pStyle w:val="ListBullet"/>
        <w:spacing w:after="20"/>
      </w:pPr>
      <w:r>
        <w:t>Partner documentation</w:t>
      </w:r>
    </w:p>
    <w:p>
      <w:pPr>
        <w:pStyle w:val="ListBullet"/>
        <w:spacing w:after="20"/>
      </w:pPr>
      <w:r>
        <w:t>Data room development</w:t>
      </w:r>
    </w:p>
    <w:p>
      <w:pPr>
        <w:pStyle w:val="Heading1"/>
      </w:pPr>
      <w:r>
        <w:t>13. Risk and Compliance Discipline</w:t>
      </w:r>
    </w:p>
    <w:p>
      <w:r>
        <w:t>Konto’s current positioning is intentionally compliance-conscious.</w:t>
      </w:r>
    </w:p>
    <w:p>
      <w:r>
        <w:t>Konto is currently in activation phase and does not present itself as a bank, deposit-taking institution, insurer, lender, investment platform, wallet provider or payment service provider unless such services are delivered through duly licensed partners or upon completion of applicable regulatory approvals.</w:t>
      </w:r>
    </w:p>
    <w:p>
      <w:pPr>
        <w:pStyle w:val="Heading2"/>
      </w:pPr>
      <w:r>
        <w:t>Core Compliance Principles</w:t>
      </w:r>
    </w:p>
    <w:p>
      <w:pPr>
        <w:pStyle w:val="ListBullet"/>
        <w:spacing w:after="20"/>
      </w:pPr>
      <w:r>
        <w:t>Clear distinction between current and future services</w:t>
      </w:r>
    </w:p>
    <w:p>
      <w:pPr>
        <w:pStyle w:val="ListBullet"/>
        <w:spacing w:after="20"/>
      </w:pPr>
      <w:r>
        <w:t>Partner-led delivery of regulated services where applicable</w:t>
      </w:r>
    </w:p>
    <w:p>
      <w:pPr>
        <w:pStyle w:val="ListBullet"/>
        <w:spacing w:after="20"/>
      </w:pPr>
      <w:r>
        <w:t>Responsible customer communication</w:t>
      </w:r>
    </w:p>
    <w:p>
      <w:pPr>
        <w:pStyle w:val="ListBullet"/>
        <w:spacing w:after="20"/>
      </w:pPr>
      <w:r>
        <w:t>Data protection discipline</w:t>
      </w:r>
    </w:p>
    <w:p>
      <w:pPr>
        <w:pStyle w:val="ListBullet"/>
        <w:spacing w:after="20"/>
      </w:pPr>
      <w:r>
        <w:t>AML/CFT readiness</w:t>
      </w:r>
    </w:p>
    <w:p>
      <w:pPr>
        <w:pStyle w:val="ListBullet"/>
        <w:spacing w:after="20"/>
      </w:pPr>
      <w:r>
        <w:t>Customer protection orientation</w:t>
      </w:r>
    </w:p>
    <w:p>
      <w:pPr>
        <w:pStyle w:val="ListBullet"/>
        <w:spacing w:after="20"/>
      </w:pPr>
      <w:r>
        <w:t>Agent conduct expectations</w:t>
      </w:r>
    </w:p>
    <w:p>
      <w:pPr>
        <w:pStyle w:val="ListBullet"/>
        <w:spacing w:after="20"/>
      </w:pPr>
      <w:r>
        <w:t>Complaints handling</w:t>
      </w:r>
    </w:p>
    <w:p>
      <w:pPr>
        <w:pStyle w:val="ListBullet"/>
        <w:spacing w:after="20"/>
      </w:pPr>
      <w:r>
        <w:t>Internal controls</w:t>
      </w:r>
    </w:p>
    <w:p>
      <w:pPr>
        <w:pStyle w:val="ListBullet"/>
        <w:spacing w:after="20"/>
      </w:pPr>
      <w:r>
        <w:t>Regulatory-status transparency</w:t>
      </w:r>
    </w:p>
    <w:p>
      <w:pPr>
        <w:pStyle w:val="Heading1"/>
      </w:pPr>
      <w:r>
        <w:t>14. Use of Investor Capital</w:t>
      </w:r>
    </w:p>
    <w:p>
      <w:r>
        <w:t>Investor capital may be applied toward clearly defined activation and growth priorities, including:</w:t>
      </w:r>
    </w:p>
    <w:p>
      <w:pPr>
        <w:pStyle w:val="ListBullet"/>
        <w:spacing w:after="20"/>
      </w:pPr>
      <w:r>
        <w:t>Technology and app development</w:t>
      </w:r>
    </w:p>
    <w:p>
      <w:pPr>
        <w:pStyle w:val="ListBullet"/>
        <w:spacing w:after="20"/>
      </w:pPr>
      <w:r>
        <w:t>Regulatory-readiness workstreams</w:t>
      </w:r>
    </w:p>
    <w:p>
      <w:pPr>
        <w:pStyle w:val="ListBullet"/>
        <w:spacing w:after="20"/>
      </w:pPr>
      <w:r>
        <w:t>Compliance and governance infrastructure</w:t>
      </w:r>
    </w:p>
    <w:p>
      <w:pPr>
        <w:pStyle w:val="ListBullet"/>
        <w:spacing w:after="20"/>
      </w:pPr>
      <w:r>
        <w:t>Agent network development</w:t>
      </w:r>
    </w:p>
    <w:p>
      <w:pPr>
        <w:pStyle w:val="ListBullet"/>
        <w:spacing w:after="20"/>
      </w:pPr>
      <w:r>
        <w:t>SME and merchant onboarding</w:t>
      </w:r>
    </w:p>
    <w:p>
      <w:pPr>
        <w:pStyle w:val="ListBullet"/>
        <w:spacing w:after="20"/>
      </w:pPr>
      <w:r>
        <w:t>Financial literacy content and delivery</w:t>
      </w:r>
    </w:p>
    <w:p>
      <w:pPr>
        <w:pStyle w:val="ListBullet"/>
        <w:spacing w:after="20"/>
      </w:pPr>
      <w:r>
        <w:t>Market activation campaigns</w:t>
      </w:r>
    </w:p>
    <w:p>
      <w:pPr>
        <w:pStyle w:val="ListBullet"/>
        <w:spacing w:after="20"/>
      </w:pPr>
      <w:r>
        <w:t>Partnership development</w:t>
      </w:r>
    </w:p>
    <w:p>
      <w:pPr>
        <w:pStyle w:val="ListBullet"/>
        <w:spacing w:after="20"/>
      </w:pPr>
      <w:r>
        <w:t>Staff and operational capacity</w:t>
      </w:r>
    </w:p>
    <w:p>
      <w:pPr>
        <w:pStyle w:val="ListBullet"/>
        <w:spacing w:after="20"/>
      </w:pPr>
      <w:r>
        <w:t>Data protection and cybersecurity</w:t>
      </w:r>
    </w:p>
    <w:p>
      <w:pPr>
        <w:pStyle w:val="ListBullet"/>
        <w:spacing w:after="20"/>
      </w:pPr>
      <w:r>
        <w:t>Investor/data room readiness</w:t>
      </w:r>
    </w:p>
    <w:p>
      <w:pPr>
        <w:pStyle w:val="ListBullet"/>
        <w:spacing w:after="20"/>
      </w:pPr>
      <w:r>
        <w:t>Community expansion</w:t>
      </w:r>
    </w:p>
    <w:p>
      <w:pPr>
        <w:pStyle w:val="ListBullet"/>
        <w:spacing w:after="20"/>
      </w:pPr>
      <w:r>
        <w:t>Pilot programmes and launch execution</w:t>
      </w:r>
    </w:p>
    <w:p>
      <w:pPr>
        <w:pStyle w:val="Heading1"/>
      </w:pPr>
      <w:r>
        <w:t>15. Investor Engagement Pathway</w:t>
      </w:r>
    </w:p>
    <w:p>
      <w:pPr>
        <w:pStyle w:val="ListNumber"/>
      </w:pPr>
      <w:r>
        <w:rPr>
          <w:b/>
        </w:rPr>
        <w:t>Investor Enquiry</w:t>
      </w:r>
      <w:r>
        <w:t xml:space="preserve"> - Interested investors submit an enquiry through the Investor Relations page.</w:t>
      </w:r>
    </w:p>
    <w:p>
      <w:pPr>
        <w:pStyle w:val="ListNumber"/>
      </w:pPr>
      <w:r>
        <w:rPr>
          <w:b/>
        </w:rPr>
        <w:t>Internal Review</w:t>
      </w:r>
      <w:r>
        <w:t xml:space="preserve"> - Konto and NCDF assess investor profile, strategic fit and engagement suitability.</w:t>
      </w:r>
    </w:p>
    <w:p>
      <w:pPr>
        <w:pStyle w:val="ListNumber"/>
      </w:pPr>
      <w:r>
        <w:rPr>
          <w:b/>
        </w:rPr>
        <w:t>NDA and Qualification</w:t>
      </w:r>
      <w:r>
        <w:t xml:space="preserve"> - Qualified parties may be required to sign confidentiality documentation before receiving detailed materials.</w:t>
      </w:r>
    </w:p>
    <w:p>
      <w:pPr>
        <w:pStyle w:val="ListNumber"/>
      </w:pPr>
      <w:r>
        <w:rPr>
          <w:b/>
        </w:rPr>
        <w:t>Investor Materials Release</w:t>
      </w:r>
      <w:r>
        <w:t xml:space="preserve"> - Approved investors may receive the investor brief, presentation, financial model summary, data room index and related documents.</w:t>
      </w:r>
    </w:p>
    <w:p>
      <w:pPr>
        <w:pStyle w:val="ListNumber"/>
      </w:pPr>
      <w:r>
        <w:rPr>
          <w:b/>
        </w:rPr>
        <w:t>Management Discussion</w:t>
      </w:r>
      <w:r>
        <w:t xml:space="preserve"> - Approved investors may meet with Konto / NCDF leadership to discuss strategy, commercial model, regulatory pathway and capitalisation plan.</w:t>
      </w:r>
    </w:p>
    <w:p>
      <w:pPr>
        <w:pStyle w:val="ListNumber"/>
      </w:pPr>
      <w:r>
        <w:rPr>
          <w:b/>
        </w:rPr>
        <w:t>Due Diligence</w:t>
      </w:r>
      <w:r>
        <w:t xml:space="preserve"> - Qualified investors may progress to data room access, Q&amp;A, adviser review and transaction structuring.</w:t>
      </w:r>
    </w:p>
    <w:p>
      <w:pPr>
        <w:pStyle w:val="Heading2"/>
      </w:pPr>
      <w:r>
        <w:t>Key Investor Materials Available</w:t>
      </w:r>
    </w:p>
    <w:p>
      <w:pPr>
        <w:pStyle w:val="ListBullet"/>
        <w:spacing w:after="20"/>
      </w:pPr>
      <w:r>
        <w:t>Investor Brief</w:t>
      </w:r>
    </w:p>
    <w:p>
      <w:pPr>
        <w:pStyle w:val="ListBullet"/>
        <w:spacing w:after="20"/>
      </w:pPr>
      <w:r>
        <w:t>Investor Presentation</w:t>
      </w:r>
    </w:p>
    <w:p>
      <w:pPr>
        <w:pStyle w:val="ListBullet"/>
        <w:spacing w:after="20"/>
      </w:pPr>
      <w:r>
        <w:t>Strategic Business Plan</w:t>
      </w:r>
    </w:p>
    <w:p>
      <w:pPr>
        <w:pStyle w:val="ListBullet"/>
        <w:spacing w:after="20"/>
      </w:pPr>
      <w:r>
        <w:t>Financial Inclusion Monetisation Blueprint</w:t>
      </w:r>
    </w:p>
    <w:p>
      <w:pPr>
        <w:pStyle w:val="ListBullet"/>
        <w:spacing w:after="20"/>
      </w:pPr>
      <w:r>
        <w:t>Financial Model Summary</w:t>
      </w:r>
    </w:p>
    <w:p>
      <w:pPr>
        <w:pStyle w:val="ListBullet"/>
        <w:spacing w:after="20"/>
      </w:pPr>
      <w:r>
        <w:t>Capitalisation Plan</w:t>
      </w:r>
    </w:p>
    <w:p>
      <w:pPr>
        <w:pStyle w:val="ListBullet"/>
        <w:spacing w:after="20"/>
      </w:pPr>
      <w:r>
        <w:t>Technology and App Roadmap</w:t>
      </w:r>
    </w:p>
    <w:p>
      <w:pPr>
        <w:pStyle w:val="ListBullet"/>
        <w:spacing w:after="20"/>
      </w:pPr>
      <w:r>
        <w:t>Regulatory-Readiness Summary</w:t>
      </w:r>
    </w:p>
    <w:p>
      <w:pPr>
        <w:pStyle w:val="ListBullet"/>
        <w:spacing w:after="20"/>
      </w:pPr>
      <w:r>
        <w:t>Partner Strategy Summary</w:t>
      </w:r>
    </w:p>
    <w:p>
      <w:pPr>
        <w:pStyle w:val="ListBullet"/>
        <w:spacing w:after="20"/>
      </w:pPr>
      <w:r>
        <w:t>Agent Network Strategy</w:t>
      </w:r>
    </w:p>
    <w:p>
      <w:pPr>
        <w:pStyle w:val="ListBullet"/>
        <w:spacing w:after="20"/>
      </w:pPr>
      <w:r>
        <w:t>SME and Merchant Access Framework</w:t>
      </w:r>
    </w:p>
    <w:p>
      <w:pPr>
        <w:pStyle w:val="ListBullet"/>
        <w:spacing w:after="20"/>
      </w:pPr>
      <w:r>
        <w:t>Data Room Index</w:t>
      </w:r>
    </w:p>
    <w:p>
      <w:pPr>
        <w:pStyle w:val="ListBullet"/>
        <w:spacing w:after="20"/>
      </w:pPr>
      <w:r>
        <w:t>Impact and ESG Framework</w:t>
      </w:r>
    </w:p>
    <w:p>
      <w:pPr>
        <w:pStyle w:val="Heading1"/>
      </w:pPr>
      <w:r>
        <w:t>16. Closing Statement</w:t>
      </w:r>
    </w:p>
    <w:p>
      <w:r>
        <w:t>Konto Financial Group Plc is being built to serve one of the most important needs in inclusive economic development: trusted access.</w:t>
      </w:r>
    </w:p>
    <w:p>
      <w:r>
        <w:t>By organising people, SMEs, agents, merchants and communities, Konto creates the infrastructure through which financial literacy, partner access, SME formalisation, agent networks and future digital tools can scale responsibly.</w:t>
      </w:r>
    </w:p>
    <w:p>
      <w:r>
        <w:t>For investors, Konto represents a disciplined platform opportunity at the intersection of financial inclusion, SME development, agent networks, partner distribution and digital finance readiness.</w:t>
      </w:r>
    </w:p>
    <w:p>
      <w:r>
        <w:t>Konto is not only preparing to serve customers. It is preparing to organise a market.</w:t>
      </w:r>
    </w:p>
    <w:tbl>
      <w:tblPr>
        <w:tblW w:type="auto" w:w="0"/>
        <w:tblLook w:firstColumn="1" w:firstRow="1" w:lastColumn="0" w:lastRow="0" w:noHBand="0" w:noVBand="1" w:val="04A0"/>
      </w:tblPr>
      <w:tblGrid>
        <w:gridCol w:w="10224"/>
      </w:tblGrid>
      <w:tr>
        <w:tc>
          <w:tcPr>
            <w:tcW w:type="dxa" w:w="10224"/>
            <w:tcBorders>
              <w:top w:sz="8" w:val="single" w:color="B38B2E"/>
              <w:left w:sz="8" w:val="single" w:color="B38B2E"/>
              <w:bottom w:sz="8" w:val="single" w:color="B38B2E"/>
              <w:right w:sz="8" w:val="single" w:color="B38B2E"/>
            </w:tcBorders>
            <w:shd w:fill="FFFBEB"/>
          </w:tcPr>
          <w:p>
            <w:r>
              <w:rPr>
                <w:b/>
                <w:color w:val="B38B2E"/>
                <w:sz w:val="19"/>
              </w:rPr>
              <w:t>Important Notice</w:t>
            </w:r>
          </w:p>
          <w:p>
            <w:r>
              <w:rPr>
                <w:color w:val="222222"/>
                <w:sz w:val="17"/>
              </w:rPr>
              <w:t>This Investor Brief is provided for institutional information purposes only. It does not constitute an offer to sell securities, a solicitation to invest, investment advice, banking services, insurance services, lending services, payment services, deposit-taking services, wallet services or any other regulated financial service. Any investor engagement, capital raise, securities offering, partnership arrangement or regulated service activity will be subject to applicable laws, regulatory requirements, internal approvals, due diligence, professional advice, formal documentation and confidentiality requirements. Konto Financial Group Plc is currently in activation phase. Regulated financial services will be delivered only through duly licensed partners or upon completion of applicable regulatory approvals.</w:t>
            </w:r>
          </w:p>
        </w:tc>
      </w:tr>
    </w:tbl>
    <w:p/>
    <w:sectPr w:rsidR="00FC693F" w:rsidRPr="0006063C" w:rsidSect="00034616">
      <w:headerReference w:type="default" r:id="rId9"/>
      <w:footerReference w:type="default" r:id="rId10"/>
      <w:pgSz w:w="12240" w:h="15840"/>
      <w:pgMar w:top="936" w:right="1008" w:bottom="936" w:left="1008"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B6770"/>
        <w:sz w:val="16"/>
      </w:rPr>
      <w:t xml:space="preserve">Konto Financial Group Plc | Investor Brief | Page </w:t>
    </w: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color w:val="5B6770"/>
        <w:sz w:val="16"/>
      </w:rPr>
      <w:t>Konto Investor Brief</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color w:val="222222"/>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80" w:after="120"/>
      <w:outlineLvl w:val="0"/>
    </w:pPr>
    <w:rPr>
      <w:rFonts w:asciiTheme="majorHAnsi" w:eastAsiaTheme="majorEastAsia" w:hAnsiTheme="majorHAnsi" w:cstheme="majorBidi" w:ascii="Aptos Display" w:hAnsi="Aptos Display" w:eastAsia="Aptos Display"/>
      <w:b/>
      <w:bCs/>
      <w:color w:val="0B1F33"/>
      <w:sz w:val="36"/>
      <w:szCs w:val="28"/>
    </w:rPr>
  </w:style>
  <w:style w:type="paragraph" w:styleId="Heading2">
    <w:name w:val="heading 2"/>
    <w:basedOn w:val="Normal"/>
    <w:next w:val="Normal"/>
    <w:link w:val="Heading2Char"/>
    <w:uiPriority w:val="9"/>
    <w:unhideWhenUsed/>
    <w:qFormat/>
    <w:rsid w:val="00FC693F"/>
    <w:pPr>
      <w:keepNext/>
      <w:keepLines/>
      <w:spacing w:before="200" w:after="80"/>
      <w:outlineLvl w:val="1"/>
    </w:pPr>
    <w:rPr>
      <w:rFonts w:asciiTheme="majorHAnsi" w:eastAsiaTheme="majorEastAsia" w:hAnsiTheme="majorHAnsi" w:cstheme="majorBidi" w:ascii="Aptos" w:hAnsi="Aptos" w:eastAsia="Aptos"/>
      <w:b/>
      <w:bCs/>
      <w:color w:val="102A43"/>
      <w:sz w:val="26"/>
      <w:szCs w:val="26"/>
    </w:rPr>
  </w:style>
  <w:style w:type="paragraph" w:styleId="Heading3">
    <w:name w:val="heading 3"/>
    <w:basedOn w:val="Normal"/>
    <w:next w:val="Normal"/>
    <w:link w:val="Heading3Char"/>
    <w:uiPriority w:val="9"/>
    <w:unhideWhenUsed/>
    <w:qFormat/>
    <w:rsid w:val="00FC693F"/>
    <w:pPr>
      <w:keepNext/>
      <w:keepLines/>
      <w:spacing w:before="160" w:after="60"/>
      <w:outlineLvl w:val="2"/>
    </w:pPr>
    <w:rPr>
      <w:rFonts w:asciiTheme="majorHAnsi" w:eastAsiaTheme="majorEastAsia" w:hAnsiTheme="majorHAnsi" w:cstheme="majorBidi" w:ascii="Aptos" w:hAnsi="Aptos" w:eastAsia="Aptos"/>
      <w:b/>
      <w:bCs/>
      <w:color w:val="0F766E"/>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200" w:line="240" w:lineRule="auto" w:before="0"/>
      <w:contextualSpacing/>
    </w:pPr>
    <w:rPr>
      <w:rFonts w:asciiTheme="majorHAnsi" w:eastAsiaTheme="majorEastAsia" w:hAnsiTheme="majorHAnsi" w:cstheme="majorBidi" w:ascii="Aptos Display" w:hAnsi="Aptos Display" w:eastAsia="Aptos Display"/>
      <w:b/>
      <w:color w:val="0B1F33"/>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Eyebrow">
    <w:name w:val="Eyebrow"/>
    <w:basedOn w:val="Normal"/>
    <w:pPr>
      <w:spacing w:after="80"/>
    </w:pPr>
    <w:rPr>
      <w:rFonts w:ascii="Aptos" w:hAnsi="Aptos"/>
      <w:b/>
      <w:color w:val="B38B2E"/>
      <w:sz w:val="16"/>
    </w:rPr>
  </w:style>
  <w:style w:type="paragraph" w:customStyle="1" w:styleId="SmallNote">
    <w:name w:val="Small Note"/>
    <w:basedOn w:val="Normal"/>
    <w:pPr>
      <w:spacing w:after="60"/>
    </w:pPr>
    <w:rPr>
      <w:rFonts w:ascii="Aptos" w:hAnsi="Aptos"/>
      <w:color w:val="5B6770"/>
      <w:sz w:val="16"/>
    </w:rPr>
  </w:style>
  <w:style w:type="paragraph" w:customStyle="1" w:styleId="Callout">
    <w:name w:val="Callout"/>
    <w:basedOn w:val="Normal"/>
    <w:pPr>
      <w:spacing w:before="100" w:after="100"/>
    </w:pPr>
    <w:rPr>
      <w:rFonts w:ascii="Aptos" w:hAnsi="Aptos"/>
      <w:b/>
      <w:color w:val="0F766E"/>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